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FA64" w14:textId="33C09B51" w:rsidR="00EC588A" w:rsidRDefault="00EC588A"/>
    <w:p w14:paraId="7F13308A" w14:textId="1E3A0E3A" w:rsidR="007654C0" w:rsidRDefault="007654C0"/>
    <w:p w14:paraId="2AEABD2D" w14:textId="77777777" w:rsidR="00D87A12" w:rsidRDefault="00D87A12" w:rsidP="00D87A12">
      <w:pPr>
        <w:rPr>
          <w:rFonts w:ascii="Georgia" w:hAnsi="Georgia" w:cs="Calibri"/>
          <w:color w:val="000000"/>
        </w:rPr>
      </w:pPr>
      <w:r>
        <w:rPr>
          <w:rFonts w:ascii="Georgia" w:hAnsi="Georgia" w:cs="Calibri"/>
          <w:color w:val="000000"/>
        </w:rPr>
        <w:t>4 octombrie</w:t>
      </w:r>
      <w:r w:rsidRPr="00063F66">
        <w:rPr>
          <w:rFonts w:ascii="Georgia" w:hAnsi="Georgia" w:cs="Calibri"/>
          <w:color w:val="000000"/>
        </w:rPr>
        <w:t xml:space="preserve"> 202</w:t>
      </w:r>
      <w:r>
        <w:rPr>
          <w:rFonts w:ascii="Georgia" w:hAnsi="Georgia" w:cs="Calibri"/>
          <w:color w:val="000000"/>
        </w:rPr>
        <w:t>3</w:t>
      </w:r>
    </w:p>
    <w:p w14:paraId="0A683786" w14:textId="77777777" w:rsidR="00D87A12" w:rsidRPr="00063F66" w:rsidRDefault="00D87A12" w:rsidP="00D87A12">
      <w:pPr>
        <w:rPr>
          <w:rFonts w:ascii="Georgia" w:hAnsi="Georgia" w:cs="Calibri"/>
          <w:color w:val="000000"/>
        </w:rPr>
      </w:pPr>
    </w:p>
    <w:p w14:paraId="5B26D0CB" w14:textId="77777777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</w:rPr>
      </w:pPr>
      <w:r w:rsidRPr="00063F66">
        <w:rPr>
          <w:rFonts w:ascii="Georgia" w:hAnsi="Georgia"/>
          <w:b/>
          <w:bCs/>
          <w:color w:val="000000"/>
        </w:rPr>
        <w:t>Ast</w:t>
      </w:r>
      <w:r w:rsidRPr="00063F66">
        <w:rPr>
          <w:rFonts w:ascii="Georgia" w:hAnsi="Georgia"/>
          <w:b/>
          <w:bCs/>
          <w:color w:val="000000"/>
          <w:lang w:val="ro-RO"/>
        </w:rPr>
        <w:t>ăzi s</w:t>
      </w:r>
      <w:r>
        <w:rPr>
          <w:rFonts w:ascii="Georgia" w:hAnsi="Georgia"/>
          <w:b/>
          <w:bCs/>
          <w:color w:val="000000"/>
          <w:lang w:val="ro-RO"/>
        </w:rPr>
        <w:t>-a lansat</w:t>
      </w:r>
      <w:r w:rsidRPr="00063F66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>cea de-a dou</w:t>
      </w:r>
      <w:r>
        <w:rPr>
          <w:rFonts w:ascii="Georgia" w:hAnsi="Georgia"/>
          <w:b/>
          <w:bCs/>
          <w:color w:val="000000"/>
          <w:lang w:val="ro-RO"/>
        </w:rPr>
        <w:t>a</w:t>
      </w:r>
      <w:r>
        <w:rPr>
          <w:rFonts w:ascii="Georgia" w:hAnsi="Georgia"/>
          <w:b/>
          <w:bCs/>
          <w:color w:val="000000"/>
        </w:rPr>
        <w:t xml:space="preserve"> rund</w:t>
      </w:r>
      <w:r>
        <w:rPr>
          <w:rFonts w:ascii="Georgia" w:hAnsi="Georgia"/>
          <w:b/>
          <w:bCs/>
          <w:color w:val="000000"/>
          <w:lang w:val="ro-RO"/>
        </w:rPr>
        <w:t xml:space="preserve">ă </w:t>
      </w:r>
      <w:r w:rsidRPr="00063F66">
        <w:rPr>
          <w:rFonts w:ascii="Georgia" w:hAnsi="Georgia"/>
          <w:b/>
          <w:bCs/>
          <w:color w:val="000000"/>
        </w:rPr>
        <w:t>DiscoverEU din 202</w:t>
      </w:r>
      <w:r>
        <w:rPr>
          <w:rFonts w:ascii="Georgia" w:hAnsi="Georgia"/>
          <w:b/>
          <w:bCs/>
          <w:color w:val="000000"/>
        </w:rPr>
        <w:t>3</w:t>
      </w:r>
      <w:r w:rsidRPr="00063F66">
        <w:rPr>
          <w:rFonts w:ascii="Georgia" w:hAnsi="Georgia"/>
          <w:b/>
          <w:bCs/>
          <w:color w:val="000000"/>
        </w:rPr>
        <w:t xml:space="preserve">: </w:t>
      </w:r>
      <w:r>
        <w:rPr>
          <w:rFonts w:ascii="Georgia" w:hAnsi="Georgia"/>
          <w:b/>
          <w:bCs/>
          <w:color w:val="000000"/>
        </w:rPr>
        <w:t xml:space="preserve">peste </w:t>
      </w:r>
      <w:r w:rsidRPr="00063F66">
        <w:rPr>
          <w:rFonts w:ascii="Georgia" w:hAnsi="Georgia"/>
          <w:b/>
          <w:bCs/>
          <w:color w:val="000000"/>
        </w:rPr>
        <w:t>1.</w:t>
      </w:r>
      <w:r>
        <w:rPr>
          <w:rFonts w:ascii="Georgia" w:hAnsi="Georgia"/>
          <w:b/>
          <w:bCs/>
          <w:color w:val="000000"/>
        </w:rPr>
        <w:t>5</w:t>
      </w:r>
      <w:r w:rsidRPr="00063F66">
        <w:rPr>
          <w:rFonts w:ascii="Georgia" w:hAnsi="Georgia"/>
          <w:b/>
          <w:bCs/>
          <w:color w:val="000000"/>
        </w:rPr>
        <w:t xml:space="preserve">00 de tineri din România vor avea oportunitatea să exploreze Europa </w:t>
      </w:r>
      <w:r>
        <w:rPr>
          <w:rFonts w:ascii="Georgia" w:hAnsi="Georgia"/>
          <w:b/>
          <w:bCs/>
          <w:color w:val="000000"/>
        </w:rPr>
        <w:t>c</w:t>
      </w:r>
      <w:r>
        <w:rPr>
          <w:rFonts w:ascii="Georgia" w:hAnsi="Georgia"/>
          <w:b/>
          <w:bCs/>
          <w:color w:val="000000"/>
          <w:lang w:val="ro-RO"/>
        </w:rPr>
        <w:t xml:space="preserve">ălătorind </w:t>
      </w:r>
      <w:r w:rsidRPr="00063F66">
        <w:rPr>
          <w:rFonts w:ascii="Georgia" w:hAnsi="Georgia"/>
          <w:b/>
          <w:bCs/>
          <w:color w:val="000000"/>
        </w:rPr>
        <w:t>cu trenul</w:t>
      </w:r>
    </w:p>
    <w:p w14:paraId="7B24CFAA" w14:textId="77777777" w:rsidR="00D87A12" w:rsidRPr="00063F66" w:rsidRDefault="00D87A12" w:rsidP="00D87A12">
      <w:pPr>
        <w:pStyle w:val="NormalWeb"/>
        <w:spacing w:before="0" w:beforeAutospacing="0" w:after="0" w:afterAutospacing="0"/>
        <w:rPr>
          <w:rFonts w:ascii="Georgia" w:hAnsi="Georgia"/>
        </w:rPr>
      </w:pPr>
    </w:p>
    <w:p w14:paraId="4E3F9761" w14:textId="22FA8B43" w:rsidR="00D87A12" w:rsidRPr="00063F66" w:rsidRDefault="00D87A12" w:rsidP="00D87A1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 w:rsidRPr="00063F66">
        <w:rPr>
          <w:rFonts w:ascii="Georgia" w:hAnsi="Georgia"/>
          <w:color w:val="000000"/>
        </w:rPr>
        <w:t xml:space="preserve">Comisia Europeană oferă </w:t>
      </w:r>
      <w:r>
        <w:rPr>
          <w:rFonts w:ascii="Georgia" w:hAnsi="Georgia"/>
          <w:color w:val="000000"/>
        </w:rPr>
        <w:t>în cadrul acestei</w:t>
      </w:r>
      <w:r>
        <w:rPr>
          <w:rFonts w:ascii="Georgia" w:hAnsi="Georgia"/>
          <w:color w:val="000000"/>
          <w:lang w:val="ro-RO"/>
        </w:rPr>
        <w:t xml:space="preserve"> runde 3</w:t>
      </w:r>
      <w:r w:rsidR="00061DF8">
        <w:rPr>
          <w:rFonts w:ascii="Georgia" w:hAnsi="Georgia"/>
          <w:color w:val="000000"/>
          <w:lang w:val="ro-RO"/>
        </w:rPr>
        <w:t>6</w:t>
      </w:r>
      <w:r w:rsidRPr="00063F66">
        <w:rPr>
          <w:rFonts w:ascii="Georgia" w:hAnsi="Georgia"/>
          <w:color w:val="000000"/>
        </w:rPr>
        <w:t xml:space="preserve">.000 de permise de călătorie </w:t>
      </w:r>
    </w:p>
    <w:p w14:paraId="789F505B" w14:textId="77777777" w:rsidR="00D87A12" w:rsidRDefault="00D87A12" w:rsidP="00D87A1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Sunt eligibili să se înscrie t</w:t>
      </w:r>
      <w:r w:rsidRPr="00063F66">
        <w:rPr>
          <w:rFonts w:ascii="Georgia" w:hAnsi="Georgia"/>
          <w:color w:val="000000"/>
        </w:rPr>
        <w:t xml:space="preserve">inerii născuți între 1 </w:t>
      </w:r>
      <w:r>
        <w:rPr>
          <w:rFonts w:ascii="Georgia" w:hAnsi="Georgia"/>
          <w:color w:val="000000"/>
        </w:rPr>
        <w:t xml:space="preserve">ianuarie 2005 (inclusiv) și 31 decembrie 2005 (inclusiv), rezidenți într-un stat membru UE sau într-o </w:t>
      </w:r>
      <w:r w:rsidRPr="00283649">
        <w:rPr>
          <w:rFonts w:ascii="Georgia" w:hAnsi="Georgia"/>
          <w:color w:val="000000"/>
        </w:rPr>
        <w:t>ț</w:t>
      </w:r>
      <w:r>
        <w:rPr>
          <w:rFonts w:ascii="Georgia" w:hAnsi="Georgia"/>
          <w:color w:val="000000"/>
        </w:rPr>
        <w:t>ară</w:t>
      </w:r>
      <w:r w:rsidRPr="00283649">
        <w:rPr>
          <w:rFonts w:ascii="Georgia" w:hAnsi="Georgia"/>
          <w:color w:val="000000"/>
        </w:rPr>
        <w:t xml:space="preserve"> terț</w:t>
      </w:r>
      <w:r>
        <w:rPr>
          <w:rFonts w:ascii="Georgia" w:hAnsi="Georgia"/>
          <w:color w:val="000000"/>
        </w:rPr>
        <w:t>ă</w:t>
      </w:r>
      <w:r w:rsidRPr="00283649">
        <w:rPr>
          <w:rFonts w:ascii="Georgia" w:hAnsi="Georgia"/>
          <w:color w:val="000000"/>
        </w:rPr>
        <w:t xml:space="preserve"> asociat</w:t>
      </w:r>
      <w:r>
        <w:rPr>
          <w:rFonts w:ascii="Georgia" w:hAnsi="Georgia"/>
          <w:color w:val="000000"/>
        </w:rPr>
        <w:t>ă</w:t>
      </w:r>
      <w:r w:rsidRPr="00283649">
        <w:rPr>
          <w:rFonts w:ascii="Georgia" w:hAnsi="Georgia"/>
          <w:color w:val="000000"/>
        </w:rPr>
        <w:t xml:space="preserve"> la programul Erasmus+</w:t>
      </w:r>
      <w:r>
        <w:rPr>
          <w:rFonts w:ascii="Georgia" w:hAnsi="Georgia"/>
          <w:color w:val="000000"/>
        </w:rPr>
        <w:t xml:space="preserve"> (</w:t>
      </w:r>
      <w:r w:rsidRPr="00283649">
        <w:rPr>
          <w:rFonts w:ascii="Georgia" w:hAnsi="Georgia"/>
          <w:color w:val="000000"/>
        </w:rPr>
        <w:t>Islanda, Liechtenstein, Macedonia de Nord, Norvegia, Serbia și Turcia</w:t>
      </w:r>
      <w:r>
        <w:rPr>
          <w:rFonts w:ascii="Georgia" w:hAnsi="Georgia"/>
          <w:color w:val="000000"/>
        </w:rPr>
        <w:t>)</w:t>
      </w:r>
    </w:p>
    <w:p w14:paraId="12DAB763" w14:textId="77777777" w:rsidR="00D87A12" w:rsidRDefault="00D87A12" w:rsidP="00D87A1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Perioada de înscriere este</w:t>
      </w:r>
      <w:r w:rsidRPr="00063F66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4 octombrie</w:t>
      </w:r>
      <w:r w:rsidRPr="00063F66">
        <w:rPr>
          <w:rFonts w:ascii="Georgia" w:hAnsi="Georgia"/>
          <w:color w:val="000000"/>
        </w:rPr>
        <w:t xml:space="preserve"> (ora 13:00, ora României) </w:t>
      </w:r>
      <w:r>
        <w:rPr>
          <w:rFonts w:ascii="Georgia" w:hAnsi="Georgia"/>
          <w:color w:val="000000"/>
        </w:rPr>
        <w:t>–</w:t>
      </w:r>
      <w:r w:rsidRPr="00063F66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18 octombrie</w:t>
      </w:r>
      <w:r w:rsidRPr="00063F66">
        <w:rPr>
          <w:rFonts w:ascii="Georgia" w:hAnsi="Georgia"/>
          <w:color w:val="000000"/>
        </w:rPr>
        <w:t xml:space="preserve"> (ora 13:00, ora României)</w:t>
      </w:r>
    </w:p>
    <w:p w14:paraId="6BB9FC0C" w14:textId="77777777" w:rsidR="00D87A12" w:rsidRPr="00063F66" w:rsidRDefault="00D87A12" w:rsidP="00D87A12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Tinerii selectați în urma acestui apel vor putea călători în perioada 1 martie 2024 – 31 mai 2025</w:t>
      </w:r>
    </w:p>
    <w:p w14:paraId="59074335" w14:textId="77777777" w:rsidR="00D87A12" w:rsidRDefault="00D87A12" w:rsidP="00D87A12">
      <w:pPr>
        <w:pStyle w:val="NormalWeb"/>
        <w:shd w:val="clear" w:color="auto" w:fill="FFFFFF"/>
        <w:spacing w:before="0" w:beforeAutospacing="0" w:after="0" w:afterAutospacing="0"/>
        <w:ind w:right="40"/>
        <w:rPr>
          <w:rFonts w:ascii="Georgia" w:hAnsi="Georgia"/>
          <w:color w:val="000000"/>
        </w:rPr>
      </w:pPr>
    </w:p>
    <w:p w14:paraId="06AA22FF" w14:textId="77777777" w:rsidR="00D87A12" w:rsidRDefault="00D87A12" w:rsidP="00D87A12">
      <w:pPr>
        <w:pStyle w:val="NormalWeb"/>
        <w:shd w:val="clear" w:color="auto" w:fill="FFFFFF"/>
        <w:spacing w:before="0" w:beforeAutospacing="0" w:after="0" w:afterAutospacing="0"/>
        <w:ind w:right="40"/>
        <w:rPr>
          <w:rFonts w:ascii="Georgia" w:hAnsi="Georgia"/>
          <w:color w:val="000000"/>
        </w:rPr>
      </w:pPr>
    </w:p>
    <w:p w14:paraId="480D42D7" w14:textId="77777777" w:rsidR="00D87A12" w:rsidRPr="00063F66" w:rsidRDefault="00D87A12" w:rsidP="00D87A12">
      <w:pPr>
        <w:pStyle w:val="NormalWeb"/>
        <w:shd w:val="clear" w:color="auto" w:fill="FFFFFF"/>
        <w:spacing w:before="0" w:beforeAutospacing="0" w:after="0" w:afterAutospacing="0"/>
        <w:ind w:right="40"/>
        <w:rPr>
          <w:rFonts w:ascii="Georgia" w:hAnsi="Georgia"/>
          <w:b/>
          <w:bCs/>
        </w:rPr>
      </w:pPr>
      <w:r w:rsidRPr="00063F66">
        <w:rPr>
          <w:rFonts w:ascii="Georgia" w:hAnsi="Georgia"/>
          <w:b/>
          <w:bCs/>
          <w:color w:val="000000"/>
        </w:rPr>
        <w:t>Pentru această nouă rundă, tinerii din România pot aplica pentru unul din cele 1.</w:t>
      </w:r>
      <w:r>
        <w:rPr>
          <w:rFonts w:ascii="Georgia" w:hAnsi="Georgia"/>
          <w:b/>
          <w:bCs/>
          <w:color w:val="000000"/>
        </w:rPr>
        <w:t>508</w:t>
      </w:r>
      <w:r w:rsidRPr="00063F66">
        <w:rPr>
          <w:rFonts w:ascii="Georgia" w:hAnsi="Georgia"/>
          <w:b/>
          <w:bCs/>
          <w:color w:val="000000"/>
        </w:rPr>
        <w:t xml:space="preserve"> de permise de călătorie alocate </w:t>
      </w:r>
      <w:r>
        <w:rPr>
          <w:rFonts w:ascii="Georgia" w:hAnsi="Georgia"/>
          <w:b/>
          <w:bCs/>
          <w:color w:val="000000"/>
        </w:rPr>
        <w:t>la nivel național</w:t>
      </w:r>
      <w:r w:rsidRPr="00063F66">
        <w:rPr>
          <w:rFonts w:ascii="Georgia" w:hAnsi="Georgia"/>
          <w:b/>
          <w:bCs/>
          <w:color w:val="000000"/>
        </w:rPr>
        <w:t>.</w:t>
      </w:r>
    </w:p>
    <w:p w14:paraId="3FCA0068" w14:textId="77777777" w:rsidR="00D87A12" w:rsidRPr="00063F66" w:rsidRDefault="00D87A12" w:rsidP="00D87A12">
      <w:pPr>
        <w:pStyle w:val="NormalWeb"/>
        <w:shd w:val="clear" w:color="auto" w:fill="FFFFFF"/>
        <w:spacing w:before="0" w:beforeAutospacing="0" w:after="0" w:afterAutospacing="0"/>
        <w:ind w:right="40"/>
        <w:rPr>
          <w:rFonts w:ascii="Georgia" w:hAnsi="Georgia"/>
        </w:rPr>
      </w:pPr>
      <w:r w:rsidRPr="00063F66">
        <w:rPr>
          <w:rFonts w:ascii="Georgia" w:hAnsi="Georgia"/>
        </w:rPr>
        <w:t> </w:t>
      </w:r>
    </w:p>
    <w:p w14:paraId="437E6881" w14:textId="77777777" w:rsidR="00D87A12" w:rsidRDefault="00D87A12" w:rsidP="00D87A12">
      <w:pPr>
        <w:pStyle w:val="NormalWeb"/>
        <w:shd w:val="clear" w:color="auto" w:fill="FFFFFF"/>
        <w:spacing w:before="0" w:beforeAutospacing="0" w:after="0" w:afterAutospacing="0"/>
        <w:ind w:right="40"/>
        <w:rPr>
          <w:rFonts w:ascii="Georgia" w:hAnsi="Georgia"/>
          <w:color w:val="000000"/>
        </w:rPr>
      </w:pPr>
      <w:r w:rsidRPr="00063F66">
        <w:rPr>
          <w:rFonts w:ascii="Georgia" w:hAnsi="Georgia"/>
          <w:color w:val="000000"/>
        </w:rPr>
        <w:t xml:space="preserve">Tinerii eligibili se pot înscrie </w:t>
      </w:r>
      <w:r>
        <w:rPr>
          <w:rFonts w:ascii="Georgia" w:hAnsi="Georgia"/>
          <w:color w:val="000000"/>
        </w:rPr>
        <w:t>accesând</w:t>
      </w:r>
      <w:r w:rsidRPr="00063F66">
        <w:rPr>
          <w:rFonts w:ascii="Georgia" w:hAnsi="Georgia"/>
          <w:color w:val="000000"/>
        </w:rPr>
        <w:t xml:space="preserve"> </w:t>
      </w:r>
      <w:hyperlink r:id="rId10" w:history="1">
        <w:r w:rsidRPr="00483E73">
          <w:rPr>
            <w:rStyle w:val="Hyperlink"/>
            <w:rFonts w:ascii="Georgia" w:hAnsi="Georgia"/>
          </w:rPr>
          <w:t>Portalul European pentru Tineret</w:t>
        </w:r>
      </w:hyperlink>
      <w:r>
        <w:rPr>
          <w:rFonts w:ascii="Georgia" w:hAnsi="Georgia"/>
          <w:color w:val="000000"/>
        </w:rPr>
        <w:t xml:space="preserve">. </w:t>
      </w:r>
    </w:p>
    <w:p w14:paraId="637BE4B8" w14:textId="77777777" w:rsidR="00D87A12" w:rsidRDefault="00D87A12" w:rsidP="00D87A12">
      <w:pPr>
        <w:pStyle w:val="NormalWeb"/>
        <w:shd w:val="clear" w:color="auto" w:fill="FFFFFF"/>
        <w:spacing w:before="0" w:beforeAutospacing="0" w:after="0" w:afterAutospacing="0"/>
        <w:ind w:right="40"/>
        <w:rPr>
          <w:rFonts w:ascii="Georgia" w:hAnsi="Georgia"/>
          <w:color w:val="000000"/>
        </w:rPr>
      </w:pPr>
    </w:p>
    <w:p w14:paraId="2302481A" w14:textId="5E551F52" w:rsidR="00D87A12" w:rsidRDefault="00D87A12" w:rsidP="00D87A12">
      <w:pPr>
        <w:pStyle w:val="NormalWeb"/>
        <w:shd w:val="clear" w:color="auto" w:fill="FFFFFF"/>
        <w:spacing w:before="0" w:beforeAutospacing="0" w:after="0" w:afterAutospacing="0"/>
        <w:ind w:right="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</w:t>
      </w:r>
      <w:r w:rsidRPr="00063F66">
        <w:rPr>
          <w:rFonts w:ascii="Georgia" w:hAnsi="Georgia"/>
          <w:color w:val="000000"/>
        </w:rPr>
        <w:t>entru a intra în posesia unui permis gratuit de călătorie, ei trebuie să completeze corect formularul de înscriere</w:t>
      </w:r>
      <w:r>
        <w:rPr>
          <w:rFonts w:ascii="Georgia" w:hAnsi="Georgia"/>
          <w:color w:val="000000"/>
        </w:rPr>
        <w:t>,</w:t>
      </w:r>
      <w:r w:rsidRPr="00063F66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să </w:t>
      </w:r>
      <w:r w:rsidRPr="00063F66">
        <w:rPr>
          <w:rFonts w:ascii="Georgia" w:hAnsi="Georgia"/>
          <w:color w:val="000000"/>
        </w:rPr>
        <w:t>răspun</w:t>
      </w:r>
      <w:r>
        <w:rPr>
          <w:rFonts w:ascii="Georgia" w:hAnsi="Georgia"/>
          <w:color w:val="000000"/>
        </w:rPr>
        <w:t>dă</w:t>
      </w:r>
      <w:r w:rsidRPr="00063F66">
        <w:rPr>
          <w:rFonts w:ascii="Georgia" w:hAnsi="Georgia"/>
          <w:color w:val="000000"/>
        </w:rPr>
        <w:t xml:space="preserve"> la un </w:t>
      </w:r>
      <w:r>
        <w:rPr>
          <w:rFonts w:ascii="Georgia" w:hAnsi="Georgia"/>
          <w:color w:val="000000"/>
        </w:rPr>
        <w:t>quiz</w:t>
      </w:r>
      <w:r w:rsidRPr="00063F66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despre Uniunea Europeană și oportunit</w:t>
      </w:r>
      <w:r>
        <w:rPr>
          <w:rFonts w:ascii="Georgia" w:hAnsi="Georgia"/>
          <w:color w:val="000000"/>
          <w:lang w:val="ro-RO"/>
        </w:rPr>
        <w:t>ă</w:t>
      </w:r>
      <w:r>
        <w:rPr>
          <w:rFonts w:ascii="Georgia" w:hAnsi="Georgia"/>
          <w:color w:val="000000"/>
        </w:rPr>
        <w:t>ți ale UE pentru tineri și la o întrebare care va facilita departajarea celor înscriși.</w:t>
      </w:r>
    </w:p>
    <w:p w14:paraId="2994DE72" w14:textId="77777777" w:rsidR="00D87A12" w:rsidRDefault="00D87A12" w:rsidP="00D87A12">
      <w:pPr>
        <w:rPr>
          <w:rFonts w:ascii="Georgia" w:hAnsi="Georgia"/>
        </w:rPr>
      </w:pPr>
    </w:p>
    <w:p w14:paraId="12813B18" w14:textId="67DC5B6A" w:rsidR="00D87A12" w:rsidRPr="00D87A12" w:rsidRDefault="00D87A12" w:rsidP="00D87A12">
      <w:pPr>
        <w:rPr>
          <w:rFonts w:ascii="Georgia" w:hAnsi="Georgia" w:cs="Calibri"/>
          <w:color w:val="000000"/>
        </w:rPr>
      </w:pPr>
      <w:r w:rsidRPr="00912C1C">
        <w:rPr>
          <w:rFonts w:ascii="Georgia" w:hAnsi="Georgia" w:cs="Calibri"/>
          <w:color w:val="000000"/>
        </w:rPr>
        <w:t>C</w:t>
      </w:r>
      <w:r w:rsidRPr="003A4BEB">
        <w:rPr>
          <w:rFonts w:ascii="Georgia" w:hAnsi="Georgia" w:cs="Calibri"/>
          <w:color w:val="000000"/>
        </w:rPr>
        <w:t>âștigător</w:t>
      </w:r>
      <w:r w:rsidRPr="00912C1C">
        <w:rPr>
          <w:rFonts w:ascii="Georgia" w:hAnsi="Georgia" w:cs="Calibri"/>
          <w:color w:val="000000"/>
        </w:rPr>
        <w:t>i</w:t>
      </w:r>
      <w:r w:rsidRPr="003A4BEB">
        <w:rPr>
          <w:rFonts w:ascii="Georgia" w:hAnsi="Georgia" w:cs="Calibri"/>
          <w:color w:val="000000"/>
        </w:rPr>
        <w:t xml:space="preserve">i </w:t>
      </w:r>
      <w:r>
        <w:rPr>
          <w:rFonts w:ascii="Georgia" w:hAnsi="Georgia" w:cs="Calibri"/>
          <w:color w:val="000000"/>
        </w:rPr>
        <w:t>vor putea</w:t>
      </w:r>
      <w:r w:rsidRPr="00063F66">
        <w:rPr>
          <w:rFonts w:ascii="Georgia" w:hAnsi="Georgia"/>
          <w:color w:val="000000"/>
        </w:rPr>
        <w:t xml:space="preserve"> călători în Europa</w:t>
      </w:r>
      <w:r>
        <w:rPr>
          <w:rFonts w:ascii="Georgia" w:hAnsi="Georgia"/>
          <w:color w:val="000000"/>
        </w:rPr>
        <w:t xml:space="preserve"> </w:t>
      </w:r>
      <w:r w:rsidRPr="00063F66">
        <w:rPr>
          <w:rFonts w:ascii="Georgia" w:hAnsi="Georgia"/>
          <w:color w:val="000000"/>
        </w:rPr>
        <w:t>individual sau în grup de 5</w:t>
      </w:r>
      <w:r>
        <w:rPr>
          <w:rFonts w:ascii="Georgia" w:hAnsi="Georgia"/>
          <w:color w:val="000000"/>
        </w:rPr>
        <w:t xml:space="preserve"> membri</w:t>
      </w:r>
      <w:r w:rsidRPr="00063F66">
        <w:rPr>
          <w:rFonts w:ascii="Georgia" w:hAnsi="Georgia"/>
          <w:color w:val="000000"/>
        </w:rPr>
        <w:t>, timp de până la 30 de zile. Tinerii selectați vor beneficia</w:t>
      </w:r>
      <w:r>
        <w:rPr>
          <w:rFonts w:ascii="Georgia" w:hAnsi="Georgia"/>
          <w:color w:val="000000"/>
        </w:rPr>
        <w:t xml:space="preserve"> și </w:t>
      </w:r>
      <w:r w:rsidRPr="00063F66">
        <w:rPr>
          <w:rFonts w:ascii="Georgia" w:hAnsi="Georgia"/>
          <w:color w:val="000000"/>
        </w:rPr>
        <w:t xml:space="preserve">de un </w:t>
      </w:r>
      <w:hyperlink r:id="rId11" w:history="1">
        <w:r w:rsidRPr="00063F66">
          <w:rPr>
            <w:rStyle w:val="Hyperlink"/>
            <w:rFonts w:ascii="Georgia" w:hAnsi="Georgia"/>
            <w:color w:val="1155CC"/>
          </w:rPr>
          <w:t>card cu peste 40.000 de reduceri</w:t>
        </w:r>
      </w:hyperlink>
      <w:r w:rsidRPr="00063F66">
        <w:rPr>
          <w:rFonts w:ascii="Georgia" w:hAnsi="Georgia"/>
          <w:color w:val="000000"/>
        </w:rPr>
        <w:t xml:space="preserve"> la transport public, cultură, cazare, mâncare, sport și alte servicii disponibile în țările eligibile. </w:t>
      </w:r>
      <w:r>
        <w:rPr>
          <w:rFonts w:ascii="Georgia" w:hAnsi="Georgia"/>
          <w:color w:val="000000"/>
        </w:rPr>
        <w:t>De asemenea, ei vor putea beneficia de pregătire înainte de plecare din partea Agenției Naționale Erasmus+, iar în timpul călătoriei pot avea ocazia să cunoască alți călători la întâlnirile de tip Meet-up organizate de Agențiile Naționale Erasmus+ din alte țări.</w:t>
      </w:r>
    </w:p>
    <w:p w14:paraId="02C4D01B" w14:textId="77777777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</w:rPr>
      </w:pPr>
    </w:p>
    <w:p w14:paraId="53703AC1" w14:textId="77777777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/>
        </w:rPr>
      </w:pPr>
    </w:p>
    <w:p w14:paraId="138AD8A2" w14:textId="77777777" w:rsidR="00D87A12" w:rsidRPr="00063F66" w:rsidRDefault="00D87A12" w:rsidP="00D87A12">
      <w:pPr>
        <w:pStyle w:val="NormalWeb"/>
        <w:spacing w:before="0" w:beforeAutospacing="0" w:after="0" w:afterAutospacing="0"/>
        <w:rPr>
          <w:rFonts w:ascii="Georgia" w:hAnsi="Georgia"/>
        </w:rPr>
      </w:pPr>
      <w:r w:rsidRPr="00063F66">
        <w:rPr>
          <w:rFonts w:ascii="Georgia" w:hAnsi="Georgia"/>
          <w:b/>
          <w:bCs/>
          <w:color w:val="000000"/>
        </w:rPr>
        <w:t>Context</w:t>
      </w:r>
    </w:p>
    <w:p w14:paraId="50A57327" w14:textId="77777777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Inițiativa </w:t>
      </w:r>
      <w:r w:rsidRPr="008C4B9C">
        <w:rPr>
          <w:rFonts w:ascii="Georgia" w:hAnsi="Georgia"/>
          <w:color w:val="000000"/>
        </w:rPr>
        <w:t xml:space="preserve">DiscoverEU </w:t>
      </w:r>
      <w:r>
        <w:rPr>
          <w:rFonts w:ascii="Georgia" w:hAnsi="Georgia"/>
          <w:color w:val="000000"/>
        </w:rPr>
        <w:t xml:space="preserve">a fost lansată în 2018 și a fost inclusă, ulterior, în programul Erasmus+. Prin intermediul DiscoverEU tinerii de 18 ani au ocazia </w:t>
      </w:r>
      <w:r w:rsidRPr="008C4B9C">
        <w:rPr>
          <w:rFonts w:ascii="Georgia" w:hAnsi="Georgia"/>
          <w:color w:val="000000"/>
        </w:rPr>
        <w:t xml:space="preserve">de a explora diversitatea Europei, de a afla mai multe despre patrimoniul său cultural și istoria sa și de a cunoaște </w:t>
      </w:r>
      <w:r>
        <w:rPr>
          <w:rFonts w:ascii="Georgia" w:hAnsi="Georgia"/>
          <w:color w:val="000000"/>
        </w:rPr>
        <w:t>persoane</w:t>
      </w:r>
      <w:r w:rsidRPr="008C4B9C">
        <w:rPr>
          <w:rFonts w:ascii="Georgia" w:hAnsi="Georgia"/>
          <w:color w:val="000000"/>
        </w:rPr>
        <w:t xml:space="preserve"> de pe întregul continent. </w:t>
      </w:r>
      <w:r>
        <w:rPr>
          <w:rFonts w:ascii="Georgia" w:hAnsi="Georgia"/>
          <w:color w:val="000000"/>
        </w:rPr>
        <w:t>D</w:t>
      </w:r>
      <w:r w:rsidRPr="00063F66">
        <w:rPr>
          <w:rFonts w:ascii="Georgia" w:hAnsi="Georgia"/>
          <w:color w:val="000000"/>
        </w:rPr>
        <w:t xml:space="preserve">in 2018, </w:t>
      </w:r>
      <w:r>
        <w:rPr>
          <w:rFonts w:ascii="Georgia" w:hAnsi="Georgia"/>
          <w:color w:val="000000"/>
        </w:rPr>
        <w:t>mai mult de 1 milion de tineri</w:t>
      </w:r>
      <w:r w:rsidRPr="00063F66">
        <w:rPr>
          <w:rFonts w:ascii="Georgia" w:hAnsi="Georgia"/>
          <w:color w:val="000000"/>
        </w:rPr>
        <w:t xml:space="preserve"> au aplicat pentru </w:t>
      </w:r>
      <w:r>
        <w:rPr>
          <w:rFonts w:ascii="Georgia" w:hAnsi="Georgia"/>
          <w:color w:val="000000"/>
        </w:rPr>
        <w:t>cele 248.000 d</w:t>
      </w:r>
      <w:r w:rsidRPr="00063F66">
        <w:rPr>
          <w:rFonts w:ascii="Georgia" w:hAnsi="Georgia"/>
          <w:color w:val="000000"/>
        </w:rPr>
        <w:t xml:space="preserve">e permise de călătorie disponibile. </w:t>
      </w:r>
    </w:p>
    <w:p w14:paraId="763F70C3" w14:textId="77777777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14:paraId="7AD5E19F" w14:textId="1723BFA2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063F66">
        <w:rPr>
          <w:rFonts w:ascii="Georgia" w:hAnsi="Georgia"/>
          <w:color w:val="000000"/>
        </w:rPr>
        <w:lastRenderedPageBreak/>
        <w:t>La rund</w:t>
      </w:r>
      <w:r>
        <w:rPr>
          <w:rFonts w:ascii="Georgia" w:hAnsi="Georgia"/>
          <w:color w:val="000000"/>
        </w:rPr>
        <w:t>a</w:t>
      </w:r>
      <w:r w:rsidRPr="00063F66">
        <w:rPr>
          <w:rFonts w:ascii="Georgia" w:hAnsi="Georgia"/>
          <w:color w:val="000000"/>
        </w:rPr>
        <w:t xml:space="preserve"> anterioar</w:t>
      </w:r>
      <w:r>
        <w:rPr>
          <w:rFonts w:ascii="Georgia" w:hAnsi="Georgia"/>
          <w:color w:val="000000"/>
        </w:rPr>
        <w:t>ă, din martie 2023,</w:t>
      </w:r>
      <w:r w:rsidRPr="00063F66">
        <w:rPr>
          <w:rFonts w:ascii="Georgia" w:hAnsi="Georgia"/>
          <w:color w:val="000000"/>
        </w:rPr>
        <w:t xml:space="preserve"> au candidat </w:t>
      </w:r>
      <w:r>
        <w:rPr>
          <w:rFonts w:ascii="Georgia" w:hAnsi="Georgia"/>
          <w:color w:val="000000"/>
        </w:rPr>
        <w:t xml:space="preserve">5.760 de tineri din România, dintre care 1.467 au primit un permis de călătorie. În total, din 2018 până în prezent, peste </w:t>
      </w:r>
      <w:r w:rsidR="00622D32">
        <w:rPr>
          <w:rFonts w:ascii="Georgia" w:hAnsi="Georgia"/>
          <w:color w:val="000000"/>
        </w:rPr>
        <w:t>27</w:t>
      </w:r>
      <w:r>
        <w:rPr>
          <w:rFonts w:ascii="Georgia" w:hAnsi="Georgia"/>
          <w:color w:val="000000"/>
        </w:rPr>
        <w:t>.000</w:t>
      </w:r>
      <w:r w:rsidRPr="00063F66">
        <w:rPr>
          <w:rFonts w:ascii="Georgia" w:hAnsi="Georgia"/>
          <w:color w:val="000000"/>
        </w:rPr>
        <w:t xml:space="preserve"> de tineri din România</w:t>
      </w:r>
      <w:r>
        <w:rPr>
          <w:rFonts w:ascii="Georgia" w:hAnsi="Georgia"/>
          <w:color w:val="000000"/>
        </w:rPr>
        <w:t xml:space="preserve"> au aplicat în cadrul inițiativei DiscoverEU</w:t>
      </w:r>
      <w:r w:rsidRPr="00063F66">
        <w:rPr>
          <w:rFonts w:ascii="Georgia" w:hAnsi="Georgia"/>
          <w:color w:val="000000"/>
        </w:rPr>
        <w:t xml:space="preserve">, dintre care </w:t>
      </w:r>
      <w:r>
        <w:rPr>
          <w:rFonts w:ascii="Georgia" w:hAnsi="Georgia"/>
          <w:color w:val="000000"/>
        </w:rPr>
        <w:t>peste</w:t>
      </w:r>
      <w:r w:rsidR="00B52741">
        <w:rPr>
          <w:rFonts w:ascii="Georgia" w:hAnsi="Georgia"/>
          <w:color w:val="000000"/>
        </w:rPr>
        <w:t xml:space="preserve"> 1</w:t>
      </w:r>
      <w:r w:rsidR="00994C1E">
        <w:rPr>
          <w:rFonts w:ascii="Georgia" w:hAnsi="Georgia"/>
          <w:color w:val="000000"/>
        </w:rPr>
        <w:t>0</w:t>
      </w:r>
      <w:r w:rsidR="00B52741">
        <w:rPr>
          <w:rFonts w:ascii="Georgia" w:hAnsi="Georgia"/>
          <w:color w:val="000000"/>
        </w:rPr>
        <w:t>.</w:t>
      </w:r>
      <w:r w:rsidR="00994C1E">
        <w:rPr>
          <w:rFonts w:ascii="Georgia" w:hAnsi="Georgia"/>
          <w:color w:val="000000"/>
        </w:rPr>
        <w:t>0</w:t>
      </w:r>
      <w:r w:rsidR="00B52741">
        <w:rPr>
          <w:rFonts w:ascii="Georgia" w:hAnsi="Georgia"/>
          <w:color w:val="000000"/>
        </w:rPr>
        <w:t xml:space="preserve">00 </w:t>
      </w:r>
      <w:r w:rsidRPr="00063F66">
        <w:rPr>
          <w:rFonts w:ascii="Georgia" w:hAnsi="Georgia"/>
          <w:color w:val="000000"/>
        </w:rPr>
        <w:t>au primit un permis de călătorie.</w:t>
      </w:r>
    </w:p>
    <w:p w14:paraId="7A3D8978" w14:textId="77777777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14:paraId="25CFB269" w14:textId="4F28A484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 w:rsidRPr="00063F66">
        <w:rPr>
          <w:rFonts w:ascii="Georgia" w:hAnsi="Georgia"/>
          <w:color w:val="000000"/>
        </w:rPr>
        <w:t xml:space="preserve">Conform </w:t>
      </w:r>
      <w:r w:rsidR="00B52741">
        <w:rPr>
          <w:rFonts w:ascii="Georgia" w:hAnsi="Georgia"/>
          <w:color w:val="000000"/>
        </w:rPr>
        <w:t>unui studiu realizat de</w:t>
      </w:r>
      <w:r w:rsidRPr="00063F66">
        <w:rPr>
          <w:rFonts w:ascii="Georgia" w:hAnsi="Georgia"/>
          <w:color w:val="000000"/>
        </w:rPr>
        <w:t xml:space="preserve"> Comisi</w:t>
      </w:r>
      <w:r w:rsidR="00B52741">
        <w:rPr>
          <w:rFonts w:ascii="Georgia" w:hAnsi="Georgia"/>
          <w:color w:val="000000"/>
        </w:rPr>
        <w:t>a</w:t>
      </w:r>
      <w:r w:rsidRPr="00063F66">
        <w:rPr>
          <w:rFonts w:ascii="Georgia" w:hAnsi="Georgia"/>
          <w:color w:val="000000"/>
        </w:rPr>
        <w:t xml:space="preserve"> Europe</w:t>
      </w:r>
      <w:r w:rsidR="00B52741">
        <w:rPr>
          <w:rFonts w:ascii="Georgia" w:hAnsi="Georgia"/>
          <w:color w:val="000000"/>
        </w:rPr>
        <w:t>a</w:t>
      </w:r>
      <w:r w:rsidRPr="00063F66">
        <w:rPr>
          <w:rFonts w:ascii="Georgia" w:hAnsi="Georgia"/>
          <w:color w:val="000000"/>
        </w:rPr>
        <w:t>n</w:t>
      </w:r>
      <w:r w:rsidR="00B52741">
        <w:rPr>
          <w:rFonts w:ascii="Georgia" w:hAnsi="Georgia"/>
          <w:color w:val="000000"/>
          <w:lang w:val="ro-RO"/>
        </w:rPr>
        <w:t>ă</w:t>
      </w:r>
      <w:r w:rsidRPr="00063F66">
        <w:rPr>
          <w:rFonts w:ascii="Georgia" w:hAnsi="Georgia"/>
          <w:color w:val="000000"/>
        </w:rPr>
        <w:t xml:space="preserve">, </w:t>
      </w:r>
      <w:r>
        <w:rPr>
          <w:rFonts w:ascii="Georgia" w:hAnsi="Georgia"/>
          <w:color w:val="000000"/>
        </w:rPr>
        <w:t>72</w:t>
      </w:r>
      <w:r w:rsidRPr="00063F66">
        <w:rPr>
          <w:rFonts w:ascii="Georgia" w:hAnsi="Georgia"/>
          <w:color w:val="000000"/>
        </w:rPr>
        <w:t xml:space="preserve">% dintre candidați au declarat că </w:t>
      </w:r>
      <w:r w:rsidR="00B52741">
        <w:rPr>
          <w:rFonts w:ascii="Georgia" w:hAnsi="Georgia"/>
          <w:color w:val="000000"/>
        </w:rPr>
        <w:t xml:space="preserve">în contextul DiscoverEU </w:t>
      </w:r>
      <w:r w:rsidRPr="00063F66">
        <w:rPr>
          <w:rFonts w:ascii="Georgia" w:hAnsi="Georgia"/>
          <w:color w:val="000000"/>
        </w:rPr>
        <w:t>au călătorit pentru prima dată cu trenul din țara de reședință. Pentru mulți, a fost și prima dată când au călătorit fără părinți sau adulți însoțitori, iar majoritatea</w:t>
      </w:r>
      <w:r>
        <w:rPr>
          <w:rFonts w:ascii="Georgia" w:hAnsi="Georgia"/>
          <w:color w:val="000000"/>
        </w:rPr>
        <w:t xml:space="preserve"> tinerilor</w:t>
      </w:r>
      <w:r w:rsidRPr="00063F66">
        <w:rPr>
          <w:rFonts w:ascii="Georgia" w:hAnsi="Georgia"/>
          <w:color w:val="000000"/>
        </w:rPr>
        <w:t xml:space="preserve"> au indicat că au devenit mai independenți. Experiența DiscoverEU le-a oferit o mai bună înțelegere a altor culturi și a istoriei europene. De asemenea, le-a îmbunătățit abilit</w:t>
      </w:r>
      <w:r>
        <w:rPr>
          <w:rFonts w:ascii="Georgia" w:hAnsi="Georgia"/>
          <w:color w:val="000000"/>
        </w:rPr>
        <w:t xml:space="preserve">atea de a comunica </w:t>
      </w:r>
      <w:r>
        <w:rPr>
          <w:rFonts w:ascii="Georgia" w:hAnsi="Georgia"/>
          <w:color w:val="000000"/>
          <w:lang w:val="ro-RO"/>
        </w:rPr>
        <w:t>într-o</w:t>
      </w:r>
      <w:r w:rsidRPr="00063F66">
        <w:rPr>
          <w:rFonts w:ascii="Georgia" w:hAnsi="Georgia"/>
          <w:color w:val="000000"/>
        </w:rPr>
        <w:t xml:space="preserve"> limb</w:t>
      </w:r>
      <w:r>
        <w:rPr>
          <w:rFonts w:ascii="Georgia" w:hAnsi="Georgia"/>
          <w:color w:val="000000"/>
        </w:rPr>
        <w:t>ă</w:t>
      </w:r>
      <w:r w:rsidRPr="00063F66">
        <w:rPr>
          <w:rFonts w:ascii="Georgia" w:hAnsi="Georgia"/>
          <w:color w:val="000000"/>
        </w:rPr>
        <w:t xml:space="preserve"> străin</w:t>
      </w:r>
      <w:r>
        <w:rPr>
          <w:rFonts w:ascii="Georgia" w:hAnsi="Georgia"/>
          <w:color w:val="000000"/>
        </w:rPr>
        <w:t>ă</w:t>
      </w:r>
      <w:r w:rsidRPr="00063F66">
        <w:rPr>
          <w:rFonts w:ascii="Georgia" w:hAnsi="Georgia"/>
          <w:color w:val="000000"/>
        </w:rPr>
        <w:t xml:space="preserve">. </w:t>
      </w:r>
      <w:r>
        <w:rPr>
          <w:rFonts w:ascii="Georgia" w:hAnsi="Georgia"/>
          <w:color w:val="000000"/>
        </w:rPr>
        <w:t>Peste d</w:t>
      </w:r>
      <w:r w:rsidRPr="00063F66">
        <w:rPr>
          <w:rFonts w:ascii="Georgia" w:hAnsi="Georgia"/>
          <w:color w:val="000000"/>
        </w:rPr>
        <w:t>ouă treimi au spus că nu și-ar fi putut finanța permisul de călătorie fără DiscoverEU.</w:t>
      </w:r>
    </w:p>
    <w:p w14:paraId="2BFC3CB0" w14:textId="77777777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14:paraId="06B0FDEA" w14:textId="77777777" w:rsidR="00D87A12" w:rsidRPr="00063F66" w:rsidRDefault="00D87A12" w:rsidP="00D87A12">
      <w:pPr>
        <w:pStyle w:val="NormalWeb"/>
        <w:shd w:val="clear" w:color="auto" w:fill="FFFFFF"/>
        <w:spacing w:before="0" w:beforeAutospacing="0" w:after="0" w:afterAutospacing="0"/>
        <w:ind w:right="40"/>
        <w:rPr>
          <w:rFonts w:ascii="Georgia" w:hAnsi="Georgia"/>
        </w:rPr>
      </w:pPr>
      <w:r w:rsidRPr="00063F66">
        <w:rPr>
          <w:rFonts w:ascii="Georgia" w:hAnsi="Georgia"/>
        </w:rPr>
        <w:t> </w:t>
      </w:r>
    </w:p>
    <w:p w14:paraId="4F09A28B" w14:textId="77777777" w:rsidR="00D87A12" w:rsidRPr="006F09D6" w:rsidRDefault="00D87A12" w:rsidP="00D87A12">
      <w:pPr>
        <w:pStyle w:val="NormalWeb"/>
        <w:shd w:val="clear" w:color="auto" w:fill="FFFFFF"/>
        <w:spacing w:before="0" w:beforeAutospacing="0" w:after="0" w:afterAutospacing="0"/>
        <w:ind w:right="40"/>
        <w:rPr>
          <w:rFonts w:ascii="Georgia" w:hAnsi="Georgia"/>
        </w:rPr>
      </w:pPr>
      <w:r w:rsidRPr="00063F66">
        <w:rPr>
          <w:rFonts w:ascii="Georgia" w:hAnsi="Georgia"/>
          <w:color w:val="000000"/>
        </w:rPr>
        <w:t xml:space="preserve">Agenția Națională pentru Programe Comunitare în Domeniul Educației și Formării Profesionale </w:t>
      </w:r>
      <w:r>
        <w:rPr>
          <w:rFonts w:ascii="Georgia" w:hAnsi="Georgia"/>
          <w:color w:val="000000"/>
        </w:rPr>
        <w:t>–</w:t>
      </w:r>
      <w:r w:rsidRPr="00063F66">
        <w:rPr>
          <w:rFonts w:ascii="Georgia" w:hAnsi="Georgia"/>
          <w:color w:val="000000"/>
        </w:rPr>
        <w:t xml:space="preserve"> ANPCDEFP</w:t>
      </w:r>
      <w:r>
        <w:rPr>
          <w:rFonts w:ascii="Georgia" w:hAnsi="Georgia"/>
          <w:color w:val="000000"/>
        </w:rPr>
        <w:t>, institu</w:t>
      </w:r>
      <w:r>
        <w:rPr>
          <w:rFonts w:ascii="Georgia" w:hAnsi="Georgia"/>
          <w:color w:val="000000"/>
          <w:lang w:val="ro-RO"/>
        </w:rPr>
        <w:t>ția care implementează programul Erasmus+ în România,</w:t>
      </w:r>
      <w:r w:rsidRPr="00063F66">
        <w:rPr>
          <w:rFonts w:ascii="Georgia" w:hAnsi="Georgia"/>
          <w:color w:val="000000"/>
        </w:rPr>
        <w:t xml:space="preserve"> sprijină călătorii români DiscoverEU prin punerea la dispoziție a </w:t>
      </w:r>
      <w:hyperlink r:id="rId12" w:history="1">
        <w:r w:rsidRPr="00063F66">
          <w:rPr>
            <w:rStyle w:val="Hyperlink"/>
            <w:rFonts w:ascii="Georgia" w:hAnsi="Georgia"/>
            <w:color w:val="1155CC"/>
          </w:rPr>
          <w:t>resurse</w:t>
        </w:r>
        <w:r>
          <w:rPr>
            <w:rStyle w:val="Hyperlink"/>
            <w:rFonts w:ascii="Georgia" w:hAnsi="Georgia"/>
            <w:color w:val="1155CC"/>
          </w:rPr>
          <w:t>lor</w:t>
        </w:r>
        <w:r w:rsidRPr="00063F66">
          <w:rPr>
            <w:rStyle w:val="Hyperlink"/>
            <w:rFonts w:ascii="Georgia" w:hAnsi="Georgia"/>
            <w:color w:val="1155CC"/>
          </w:rPr>
          <w:t xml:space="preserve"> digitale de învățare și informare</w:t>
        </w:r>
        <w:r>
          <w:rPr>
            <w:rStyle w:val="Hyperlink"/>
            <w:rFonts w:ascii="Georgia" w:hAnsi="Georgia"/>
            <w:color w:val="1155CC"/>
          </w:rPr>
          <w:t xml:space="preserve"> DiscoverEU de</w:t>
        </w:r>
        <w:r w:rsidRPr="00063F66">
          <w:rPr>
            <w:rStyle w:val="Hyperlink"/>
            <w:rFonts w:ascii="Georgia" w:hAnsi="Georgia"/>
            <w:color w:val="1155CC"/>
          </w:rPr>
          <w:t xml:space="preserve"> pe site-ul </w:t>
        </w:r>
        <w:r>
          <w:rPr>
            <w:rStyle w:val="Hyperlink"/>
            <w:rFonts w:ascii="Georgia" w:hAnsi="Georgia"/>
            <w:color w:val="1155CC"/>
          </w:rPr>
          <w:t>e</w:t>
        </w:r>
        <w:r w:rsidRPr="00063F66">
          <w:rPr>
            <w:rStyle w:val="Hyperlink"/>
            <w:rFonts w:ascii="Georgia" w:hAnsi="Georgia"/>
            <w:color w:val="1155CC"/>
          </w:rPr>
          <w:t>urodesk.ro</w:t>
        </w:r>
      </w:hyperlink>
      <w:r>
        <w:rPr>
          <w:rFonts w:ascii="Georgia" w:hAnsi="Georgia"/>
          <w:color w:val="000000"/>
        </w:rPr>
        <w:t>,</w:t>
      </w:r>
      <w:r w:rsidRPr="00063F66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prin întâlniri online de pregătire și </w:t>
      </w:r>
      <w:r w:rsidRPr="00063F66">
        <w:rPr>
          <w:rFonts w:ascii="Georgia" w:hAnsi="Georgia"/>
          <w:color w:val="000000"/>
        </w:rPr>
        <w:t>prin</w:t>
      </w:r>
      <w:r>
        <w:rPr>
          <w:rFonts w:ascii="Georgia" w:hAnsi="Georgia"/>
          <w:color w:val="000000"/>
        </w:rPr>
        <w:t>tr-un newsletter dedicat viitorilor călători.</w:t>
      </w:r>
      <w:r w:rsidRPr="00063F66">
        <w:rPr>
          <w:rFonts w:ascii="Georgia" w:hAnsi="Georgia"/>
          <w:color w:val="000000"/>
        </w:rPr>
        <w:t xml:space="preserve"> </w:t>
      </w:r>
    </w:p>
    <w:p w14:paraId="3FAD929A" w14:textId="77777777" w:rsidR="00D87A12" w:rsidRDefault="00D87A12" w:rsidP="00D87A12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</w:p>
    <w:p w14:paraId="69402201" w14:textId="7DCDAFDC" w:rsidR="00DF28E9" w:rsidRDefault="00DF28E9" w:rsidP="00D87A12">
      <w:pPr>
        <w:pStyle w:val="NormalWeb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Pentru mai multe informații</w:t>
      </w:r>
      <w:r w:rsidR="00740B11">
        <w:rPr>
          <w:rFonts w:ascii="Georgia" w:hAnsi="Georgia"/>
          <w:color w:val="000000"/>
        </w:rPr>
        <w:t xml:space="preserve"> accesați secțiunea</w:t>
      </w:r>
      <w:r>
        <w:rPr>
          <w:rFonts w:ascii="Georgia" w:hAnsi="Georgia"/>
          <w:color w:val="000000"/>
        </w:rPr>
        <w:t xml:space="preserve"> </w:t>
      </w:r>
      <w:hyperlink r:id="rId13" w:history="1">
        <w:r w:rsidRPr="00D4036A">
          <w:rPr>
            <w:rStyle w:val="Hyperlink"/>
            <w:rFonts w:ascii="Georgia" w:hAnsi="Georgia"/>
          </w:rPr>
          <w:t>DiscoverEU</w:t>
        </w:r>
      </w:hyperlink>
      <w:r w:rsidR="00740B11">
        <w:rPr>
          <w:rFonts w:ascii="Georgia" w:hAnsi="Georgia"/>
          <w:color w:val="000000"/>
        </w:rPr>
        <w:t xml:space="preserve"> de pe </w:t>
      </w:r>
      <w:hyperlink r:id="rId14" w:history="1">
        <w:r w:rsidR="00740B11" w:rsidRPr="00626932">
          <w:rPr>
            <w:rStyle w:val="Hyperlink"/>
            <w:rFonts w:ascii="Georgia" w:hAnsi="Georgia"/>
          </w:rPr>
          <w:t>Portalul European pentru Tineret</w:t>
        </w:r>
      </w:hyperlink>
      <w:r w:rsidR="00740B11">
        <w:rPr>
          <w:rFonts w:ascii="Georgia" w:hAnsi="Georgia"/>
          <w:color w:val="000000"/>
        </w:rPr>
        <w:t xml:space="preserve">. </w:t>
      </w:r>
    </w:p>
    <w:p w14:paraId="00DDEB33" w14:textId="77777777" w:rsidR="00D87A12" w:rsidRPr="00063F66" w:rsidRDefault="00D87A12" w:rsidP="00D87A12">
      <w:pPr>
        <w:pStyle w:val="NormalWeb"/>
        <w:spacing w:before="0" w:beforeAutospacing="0" w:after="0" w:afterAutospacing="0"/>
        <w:rPr>
          <w:rFonts w:ascii="Georgia" w:hAnsi="Georgia"/>
        </w:rPr>
      </w:pPr>
    </w:p>
    <w:p w14:paraId="77759124" w14:textId="77777777" w:rsidR="007654C0" w:rsidRDefault="007654C0"/>
    <w:sectPr w:rsidR="007654C0" w:rsidSect="007654C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8B11" w14:textId="77777777" w:rsidR="00467532" w:rsidRDefault="00467532" w:rsidP="00EC588A">
      <w:r>
        <w:separator/>
      </w:r>
    </w:p>
  </w:endnote>
  <w:endnote w:type="continuationSeparator" w:id="0">
    <w:p w14:paraId="6657F748" w14:textId="77777777" w:rsidR="00467532" w:rsidRDefault="00467532" w:rsidP="00E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rma Text Std Medium">
    <w:altName w:val="Calibri"/>
    <w:panose1 w:val="00000000000000000000"/>
    <w:charset w:val="00"/>
    <w:family w:val="swiss"/>
    <w:notTrueType/>
    <w:pitch w:val="variable"/>
    <w:sig w:usb0="A000007F" w:usb1="5001E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1701"/>
      <w:gridCol w:w="3936"/>
      <w:gridCol w:w="2126"/>
      <w:gridCol w:w="1701"/>
    </w:tblGrid>
    <w:tr w:rsidR="007654C0" w14:paraId="39499554" w14:textId="77777777" w:rsidTr="007654C0">
      <w:trPr>
        <w:trHeight w:val="851"/>
      </w:trPr>
      <w:tc>
        <w:tcPr>
          <w:tcW w:w="1701" w:type="dxa"/>
        </w:tcPr>
        <w:p w14:paraId="1E3A99AB" w14:textId="77777777" w:rsidR="007654C0" w:rsidRPr="003F2B88" w:rsidRDefault="007654C0" w:rsidP="007654C0">
          <w:pPr>
            <w:pStyle w:val="Footer"/>
            <w:rPr>
              <w:rFonts w:ascii="Verdana" w:hAnsi="Verdana"/>
              <w:sz w:val="18"/>
              <w:szCs w:val="18"/>
            </w:rPr>
          </w:pPr>
          <w:r w:rsidRPr="003F2B88">
            <w:rPr>
              <w:rFonts w:ascii="Verdana" w:hAnsi="Verdana"/>
              <w:sz w:val="18"/>
              <w:szCs w:val="18"/>
            </w:rPr>
            <w:t>Pagina</w:t>
          </w:r>
        </w:p>
        <w:p w14:paraId="4925E4DA" w14:textId="77777777" w:rsidR="007654C0" w:rsidRPr="003F2B88" w:rsidRDefault="007654C0" w:rsidP="007654C0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4DC94DB8" w14:textId="77777777" w:rsidR="007654C0" w:rsidRDefault="007654C0" w:rsidP="007654C0">
          <w:pPr>
            <w:pStyle w:val="Footer"/>
          </w:pP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t xml:space="preserve"> / 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3936" w:type="dxa"/>
        </w:tcPr>
        <w:p w14:paraId="3EB77378" w14:textId="77777777" w:rsidR="007654C0" w:rsidRPr="003F2B88" w:rsidRDefault="007654C0" w:rsidP="007654C0">
          <w:pPr>
            <w:pStyle w:val="Footer"/>
            <w:rPr>
              <w:rFonts w:ascii="Irma Text Std Medium" w:hAnsi="Irma Text Std Medium"/>
              <w:color w:val="808080"/>
              <w:sz w:val="14"/>
              <w:szCs w:val="14"/>
              <w:lang w:val="ro-RO"/>
            </w:rPr>
          </w:pPr>
          <w:r>
            <w:rPr>
              <w:noProof/>
            </w:rPr>
            <w:drawing>
              <wp:inline distT="0" distB="0" distL="0" distR="0" wp14:anchorId="56F28777" wp14:editId="3143B2CD">
                <wp:extent cx="2343150" cy="5524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1ED5A474" w14:textId="77777777" w:rsidR="007654C0" w:rsidRDefault="007654C0" w:rsidP="007654C0">
          <w:pPr>
            <w:tabs>
              <w:tab w:val="left" w:pos="303"/>
            </w:tabs>
            <w:jc w:val="both"/>
          </w:pPr>
          <w:r>
            <w:rPr>
              <w:noProof/>
            </w:rPr>
            <w:drawing>
              <wp:inline distT="0" distB="0" distL="0" distR="0" wp14:anchorId="0D2F42C2" wp14:editId="6920CF9C">
                <wp:extent cx="1133475" cy="71437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0512B22A" w14:textId="77777777" w:rsidR="007654C0" w:rsidRDefault="007654C0" w:rsidP="007654C0">
          <w:pPr>
            <w:pStyle w:val="Footer"/>
          </w:pPr>
          <w:r>
            <w:object w:dxaOrig="3326" w:dyaOrig="1744" w14:anchorId="257F43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39pt">
                <v:imagedata r:id="rId3" o:title=""/>
              </v:shape>
              <o:OLEObject Type="Embed" ProgID="CorelDRAW.Graphic.12" ShapeID="_x0000_i1025" DrawAspect="Content" ObjectID="_1757930206" r:id="rId4"/>
            </w:object>
          </w:r>
        </w:p>
      </w:tc>
    </w:tr>
  </w:tbl>
  <w:p w14:paraId="2265EB4C" w14:textId="77777777" w:rsidR="007654C0" w:rsidRDefault="00765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4" w:type="dxa"/>
      <w:tblLayout w:type="fixed"/>
      <w:tblLook w:val="01E0" w:firstRow="1" w:lastRow="1" w:firstColumn="1" w:lastColumn="1" w:noHBand="0" w:noVBand="0"/>
    </w:tblPr>
    <w:tblGrid>
      <w:gridCol w:w="1701"/>
      <w:gridCol w:w="3936"/>
      <w:gridCol w:w="2126"/>
      <w:gridCol w:w="1701"/>
    </w:tblGrid>
    <w:tr w:rsidR="007654C0" w14:paraId="7F2813DA" w14:textId="77777777" w:rsidTr="007654C0">
      <w:trPr>
        <w:trHeight w:val="851"/>
      </w:trPr>
      <w:tc>
        <w:tcPr>
          <w:tcW w:w="1701" w:type="dxa"/>
        </w:tcPr>
        <w:p w14:paraId="7B4A4D87" w14:textId="77777777" w:rsidR="007654C0" w:rsidRPr="003F2B88" w:rsidRDefault="007654C0" w:rsidP="007654C0">
          <w:pPr>
            <w:pStyle w:val="Footer"/>
            <w:rPr>
              <w:rFonts w:ascii="Verdana" w:hAnsi="Verdana"/>
              <w:sz w:val="18"/>
              <w:szCs w:val="18"/>
            </w:rPr>
          </w:pPr>
          <w:r w:rsidRPr="003F2B88">
            <w:rPr>
              <w:rFonts w:ascii="Verdana" w:hAnsi="Verdana"/>
              <w:sz w:val="18"/>
              <w:szCs w:val="18"/>
            </w:rPr>
            <w:t>Pagina</w:t>
          </w:r>
        </w:p>
        <w:p w14:paraId="6C8D4088" w14:textId="77777777" w:rsidR="007654C0" w:rsidRPr="003F2B88" w:rsidRDefault="007654C0" w:rsidP="007654C0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01F1916E" w14:textId="77777777" w:rsidR="007654C0" w:rsidRDefault="007654C0" w:rsidP="007654C0">
          <w:pPr>
            <w:pStyle w:val="Footer"/>
          </w:pP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t xml:space="preserve"> / 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Pr="003F2B88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  <w:tc>
        <w:tcPr>
          <w:tcW w:w="3936" w:type="dxa"/>
        </w:tcPr>
        <w:p w14:paraId="2B64CB5B" w14:textId="77777777" w:rsidR="007654C0" w:rsidRPr="003F2B88" w:rsidRDefault="007654C0" w:rsidP="007654C0">
          <w:pPr>
            <w:pStyle w:val="Footer"/>
            <w:rPr>
              <w:rFonts w:ascii="Irma Text Std Medium" w:hAnsi="Irma Text Std Medium"/>
              <w:color w:val="808080"/>
              <w:sz w:val="14"/>
              <w:szCs w:val="14"/>
              <w:lang w:val="ro-RO"/>
            </w:rPr>
          </w:pPr>
          <w:r>
            <w:rPr>
              <w:noProof/>
            </w:rPr>
            <w:drawing>
              <wp:inline distT="0" distB="0" distL="0" distR="0" wp14:anchorId="3F8E8270" wp14:editId="592EE06C">
                <wp:extent cx="2343150" cy="552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54DA23D9" w14:textId="77777777" w:rsidR="007654C0" w:rsidRDefault="007654C0" w:rsidP="007654C0">
          <w:pPr>
            <w:tabs>
              <w:tab w:val="left" w:pos="303"/>
            </w:tabs>
            <w:jc w:val="both"/>
          </w:pPr>
          <w:r>
            <w:rPr>
              <w:noProof/>
            </w:rPr>
            <w:drawing>
              <wp:inline distT="0" distB="0" distL="0" distR="0" wp14:anchorId="766471FD" wp14:editId="0675E030">
                <wp:extent cx="1133475" cy="7143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14:paraId="4F9E18BE" w14:textId="77777777" w:rsidR="007654C0" w:rsidRDefault="007654C0" w:rsidP="007654C0">
          <w:pPr>
            <w:pStyle w:val="Footer"/>
          </w:pPr>
          <w:r>
            <w:object w:dxaOrig="3326" w:dyaOrig="1744" w14:anchorId="72A692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3.5pt;height:39pt">
                <v:imagedata r:id="rId3" o:title=""/>
              </v:shape>
              <o:OLEObject Type="Embed" ProgID="CorelDRAW.Graphic.12" ShapeID="_x0000_i1026" DrawAspect="Content" ObjectID="_1757930207" r:id="rId4"/>
            </w:object>
          </w:r>
        </w:p>
      </w:tc>
    </w:tr>
  </w:tbl>
  <w:p w14:paraId="1E991AD1" w14:textId="77777777" w:rsidR="007654C0" w:rsidRDefault="00765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286" w14:textId="77777777" w:rsidR="00467532" w:rsidRDefault="00467532" w:rsidP="00EC588A">
      <w:r>
        <w:separator/>
      </w:r>
    </w:p>
  </w:footnote>
  <w:footnote w:type="continuationSeparator" w:id="0">
    <w:p w14:paraId="3334ECC2" w14:textId="77777777" w:rsidR="00467532" w:rsidRDefault="00467532" w:rsidP="00EC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5D4FAB" w14:paraId="0807E6AB" w14:textId="77777777" w:rsidTr="205D4FAB">
      <w:trPr>
        <w:trHeight w:val="300"/>
      </w:trPr>
      <w:tc>
        <w:tcPr>
          <w:tcW w:w="3005" w:type="dxa"/>
        </w:tcPr>
        <w:p w14:paraId="049811CA" w14:textId="2F2F4248" w:rsidR="205D4FAB" w:rsidRDefault="205D4FAB" w:rsidP="205D4FAB">
          <w:pPr>
            <w:pStyle w:val="Header"/>
            <w:ind w:left="-115"/>
          </w:pPr>
        </w:p>
      </w:tc>
      <w:tc>
        <w:tcPr>
          <w:tcW w:w="3005" w:type="dxa"/>
        </w:tcPr>
        <w:p w14:paraId="6C8678C9" w14:textId="7D315D6D" w:rsidR="205D4FAB" w:rsidRDefault="205D4FAB" w:rsidP="205D4FAB">
          <w:pPr>
            <w:pStyle w:val="Header"/>
            <w:jc w:val="center"/>
          </w:pPr>
        </w:p>
      </w:tc>
      <w:tc>
        <w:tcPr>
          <w:tcW w:w="3005" w:type="dxa"/>
        </w:tcPr>
        <w:p w14:paraId="7ADCE134" w14:textId="5C2FE376" w:rsidR="205D4FAB" w:rsidRDefault="205D4FAB" w:rsidP="205D4FAB">
          <w:pPr>
            <w:pStyle w:val="Header"/>
            <w:ind w:right="-115"/>
            <w:jc w:val="right"/>
          </w:pPr>
        </w:p>
      </w:tc>
    </w:tr>
  </w:tbl>
  <w:p w14:paraId="10E5B94E" w14:textId="6CFFB62C" w:rsidR="205D4FAB" w:rsidRDefault="205D4FAB" w:rsidP="205D4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A53E" w14:textId="77777777" w:rsidR="007654C0" w:rsidRDefault="007654C0" w:rsidP="007654C0">
    <w:pPr>
      <w:pStyle w:val="Header"/>
    </w:pPr>
    <w:r>
      <w:rPr>
        <w:noProof/>
        <w:szCs w:val="28"/>
      </w:rPr>
      <w:drawing>
        <wp:inline distT="0" distB="0" distL="0" distR="0" wp14:anchorId="256D0182" wp14:editId="61DFA4BA">
          <wp:extent cx="5867400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E443B" w14:textId="77777777" w:rsidR="007654C0" w:rsidRDefault="007654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1BE9"/>
    <w:multiLevelType w:val="multilevel"/>
    <w:tmpl w:val="D15E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34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A"/>
    <w:rsid w:val="00015B70"/>
    <w:rsid w:val="000431AA"/>
    <w:rsid w:val="00061DF8"/>
    <w:rsid w:val="00467532"/>
    <w:rsid w:val="004A4AF8"/>
    <w:rsid w:val="00510252"/>
    <w:rsid w:val="00556774"/>
    <w:rsid w:val="00622D32"/>
    <w:rsid w:val="00626932"/>
    <w:rsid w:val="00740B11"/>
    <w:rsid w:val="007654C0"/>
    <w:rsid w:val="00785236"/>
    <w:rsid w:val="008474F1"/>
    <w:rsid w:val="00994C1E"/>
    <w:rsid w:val="00B52741"/>
    <w:rsid w:val="00D4036A"/>
    <w:rsid w:val="00D87A12"/>
    <w:rsid w:val="00DF28E9"/>
    <w:rsid w:val="00EC588A"/>
    <w:rsid w:val="205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1D7AA"/>
  <w15:chartTrackingRefBased/>
  <w15:docId w15:val="{E9D05A38-7C2A-4B35-8C1D-B86B281F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588A"/>
  </w:style>
  <w:style w:type="paragraph" w:styleId="Footer">
    <w:name w:val="footer"/>
    <w:basedOn w:val="Normal"/>
    <w:link w:val="FooterChar"/>
    <w:unhideWhenUsed/>
    <w:rsid w:val="00EC5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588A"/>
  </w:style>
  <w:style w:type="character" w:styleId="PageNumber">
    <w:name w:val="page number"/>
    <w:basedOn w:val="DefaultParagraphFont"/>
    <w:rsid w:val="007654C0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D87A12"/>
    <w:rPr>
      <w:color w:val="0000FF"/>
      <w:u w:val="single"/>
    </w:rPr>
  </w:style>
  <w:style w:type="paragraph" w:styleId="NormalWeb">
    <w:name w:val="Normal (Web)"/>
    <w:basedOn w:val="Normal"/>
    <w:uiPriority w:val="99"/>
    <w:rsid w:val="00D87A12"/>
    <w:pPr>
      <w:spacing w:before="100" w:beforeAutospacing="1" w:after="100" w:afterAutospacing="1"/>
    </w:pPr>
    <w:rPr>
      <w:color w:val="000080"/>
    </w:rPr>
  </w:style>
  <w:style w:type="character" w:styleId="FollowedHyperlink">
    <w:name w:val="FollowedHyperlink"/>
    <w:basedOn w:val="DefaultParagraphFont"/>
    <w:uiPriority w:val="99"/>
    <w:semiHidden/>
    <w:unhideWhenUsed/>
    <w:rsid w:val="00D87A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th.europa.eu/discovereu_r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urodesk.ro/discover-eu-learning-statio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yca.org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outh.europa.eu/discovereu_r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th.europa.eu/home_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bfa51c-6896-41c8-a0a2-7b82c0207ec5" xsi:nil="true"/>
    <lcf76f155ced4ddcb4097134ff3c332f xmlns="29641ba0-6dc1-434d-9c4c-07e82e7143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77CD8AAFCB641AD5288727DF1A7F1" ma:contentTypeVersion="13" ma:contentTypeDescription="Create a new document." ma:contentTypeScope="" ma:versionID="afd60c58d5b67b3c6d8296cbbff9fe2f">
  <xsd:schema xmlns:xsd="http://www.w3.org/2001/XMLSchema" xmlns:xs="http://www.w3.org/2001/XMLSchema" xmlns:p="http://schemas.microsoft.com/office/2006/metadata/properties" xmlns:ns2="cdbfa51c-6896-41c8-a0a2-7b82c0207ec5" xmlns:ns3="29641ba0-6dc1-434d-9c4c-07e82e7143a5" targetNamespace="http://schemas.microsoft.com/office/2006/metadata/properties" ma:root="true" ma:fieldsID="f67adb599e3f67b9e0acbd0447818f47" ns2:_="" ns3:_="">
    <xsd:import namespace="cdbfa51c-6896-41c8-a0a2-7b82c0207ec5"/>
    <xsd:import namespace="29641ba0-6dc1-434d-9c4c-07e82e7143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a51c-6896-41c8-a0a2-7b82c0207e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7b1264b-3d53-43f5-a634-01896d68223e}" ma:internalName="TaxCatchAll" ma:showField="CatchAllData" ma:web="cdbfa51c-6896-41c8-a0a2-7b82c0207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1ba0-6dc1-434d-9c4c-07e82e714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9451E-3860-4BFC-83DC-A15EBEF5DE7C}">
  <ds:schemaRefs>
    <ds:schemaRef ds:uri="http://schemas.microsoft.com/office/2006/metadata/properties"/>
    <ds:schemaRef ds:uri="http://schemas.microsoft.com/office/infopath/2007/PartnerControls"/>
    <ds:schemaRef ds:uri="cdbfa51c-6896-41c8-a0a2-7b82c0207ec5"/>
    <ds:schemaRef ds:uri="29641ba0-6dc1-434d-9c4c-07e82e7143a5"/>
  </ds:schemaRefs>
</ds:datastoreItem>
</file>

<file path=customXml/itemProps2.xml><?xml version="1.0" encoding="utf-8"?>
<ds:datastoreItem xmlns:ds="http://schemas.openxmlformats.org/officeDocument/2006/customXml" ds:itemID="{4B306748-93E3-40E1-9243-D4A16F63C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1C7C9-94AD-47F3-A889-93F9E4BC3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a51c-6896-41c8-a0a2-7b82c0207ec5"/>
    <ds:schemaRef ds:uri="29641ba0-6dc1-434d-9c4c-07e82e714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Racoviceanu</dc:creator>
  <cp:keywords/>
  <dc:description/>
  <cp:lastModifiedBy>Miruna Covaci</cp:lastModifiedBy>
  <cp:revision>15</cp:revision>
  <dcterms:created xsi:type="dcterms:W3CDTF">2023-09-27T10:19:00Z</dcterms:created>
  <dcterms:modified xsi:type="dcterms:W3CDTF">2023-10-04T10:08:00Z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0x010100FBE77CD8AAFCB641AD5288727DF1A7F1</vt:lpwstr>
  </property>
  <property fmtid="{D5CDD505-2E9C-101B-9397-08002B2CF9AE}" pid="3" name="MediaServiceImageTags">
    <vt:lpwstr/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2023-09-27T10:19:45Z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416ccc44-aef9-4d3c-be40-82fa3db5fdb9</vt:lpwstr>
  </property>
  <property fmtid="{D5CDD505-2E9C-101B-9397-08002B2CF9AE}" pid="9" name="MSIP_Label_defa4170-0d19-0005-0004-bc88714345d2_ActionId">
    <vt:lpwstr>4f216c9a-8532-4546-bb71-fa113da0254b</vt:lpwstr>
  </property>
  <property fmtid="{D5CDD505-2E9C-101B-9397-08002B2CF9AE}" pid="10" name="MSIP_Label_defa4170-0d19-0005-0004-bc88714345d2_ContentBits">
    <vt:lpwstr>0</vt:lpwstr>
  </property>
</Properties>
</file>